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9BF82" w14:textId="6A3C23BD" w:rsidR="00306B34" w:rsidRDefault="003577CD">
      <w:pPr>
        <w:spacing w:after="38" w:line="259" w:lineRule="auto"/>
        <w:ind w:left="7" w:firstLine="0"/>
        <w:jc w:val="center"/>
      </w:pPr>
      <w:r>
        <w:rPr>
          <w:b/>
          <w:sz w:val="24"/>
        </w:rPr>
        <w:t xml:space="preserve">BY THE SEA PROPERTY OWNER’S ASSOCIATION,INC. </w:t>
      </w:r>
    </w:p>
    <w:p w14:paraId="4C64A4F5" w14:textId="13F2B60A" w:rsidR="00306B34" w:rsidRDefault="003577CD">
      <w:pPr>
        <w:spacing w:after="32" w:line="265" w:lineRule="auto"/>
        <w:ind w:left="31" w:hanging="10"/>
        <w:jc w:val="center"/>
      </w:pPr>
      <w:r>
        <w:rPr>
          <w:sz w:val="24"/>
        </w:rPr>
        <w:t>RIVER BAY DRIVE, Punta Gorda, FL 3395</w:t>
      </w:r>
      <w:r w:rsidR="00F56487">
        <w:rPr>
          <w:sz w:val="24"/>
        </w:rPr>
        <w:t>0</w:t>
      </w:r>
      <w:r>
        <w:rPr>
          <w:sz w:val="24"/>
        </w:rPr>
        <w:t xml:space="preserve"> </w:t>
      </w:r>
    </w:p>
    <w:p w14:paraId="4C1936D3" w14:textId="0EC5A911" w:rsidR="00306B34" w:rsidRDefault="003577CD">
      <w:pPr>
        <w:spacing w:after="389" w:line="265" w:lineRule="auto"/>
        <w:ind w:left="31" w:hanging="10"/>
        <w:jc w:val="center"/>
      </w:pPr>
      <w:r>
        <w:rPr>
          <w:sz w:val="24"/>
        </w:rPr>
        <w:t xml:space="preserve">Hoa.bythesea@gmail.com     </w:t>
      </w:r>
    </w:p>
    <w:p w14:paraId="7E592519" w14:textId="78F7B1D3" w:rsidR="00306B34" w:rsidRDefault="00000000">
      <w:pPr>
        <w:tabs>
          <w:tab w:val="center" w:pos="9630"/>
        </w:tabs>
        <w:spacing w:after="473" w:line="259" w:lineRule="auto"/>
        <w:ind w:left="0" w:firstLine="0"/>
      </w:pPr>
      <w:r>
        <w:rPr>
          <w:b/>
          <w:sz w:val="24"/>
        </w:rPr>
        <w:t xml:space="preserve">Policy/Procedure Statement </w:t>
      </w:r>
      <w:r w:rsidR="00227BF9">
        <w:rPr>
          <w:b/>
          <w:sz w:val="24"/>
        </w:rPr>
        <w:t xml:space="preserve">                                                         Section A Building </w:t>
      </w:r>
      <w:r>
        <w:rPr>
          <w:b/>
          <w:sz w:val="24"/>
        </w:rPr>
        <w:tab/>
        <w:t>Policy #</w:t>
      </w:r>
      <w:r w:rsidR="00227BF9">
        <w:rPr>
          <w:b/>
          <w:sz w:val="24"/>
        </w:rPr>
        <w:t>4</w:t>
      </w:r>
      <w:r>
        <w:rPr>
          <w:b/>
          <w:sz w:val="24"/>
        </w:rPr>
        <w:t xml:space="preserve"> </w:t>
      </w:r>
      <w:r w:rsidR="003577CD">
        <w:rPr>
          <w:b/>
          <w:sz w:val="24"/>
        </w:rPr>
        <w:t xml:space="preserve"> </w:t>
      </w:r>
    </w:p>
    <w:p w14:paraId="3CF1383A" w14:textId="77777777" w:rsidR="00306B34" w:rsidRDefault="00000000">
      <w:pPr>
        <w:pStyle w:val="Heading1"/>
      </w:pPr>
      <w:r>
        <w:t xml:space="preserve">ARCHITECTURAL REVIEW POLICY </w:t>
      </w:r>
    </w:p>
    <w:tbl>
      <w:tblPr>
        <w:tblStyle w:val="TableGrid"/>
        <w:tblW w:w="10405" w:type="dxa"/>
        <w:tblInd w:w="18" w:type="dxa"/>
        <w:tblLook w:val="04A0" w:firstRow="1" w:lastRow="0" w:firstColumn="1" w:lastColumn="0" w:noHBand="0" w:noVBand="1"/>
      </w:tblPr>
      <w:tblGrid>
        <w:gridCol w:w="1440"/>
        <w:gridCol w:w="8965"/>
      </w:tblGrid>
      <w:tr w:rsidR="00306B34" w14:paraId="78A6D468" w14:textId="77777777">
        <w:trPr>
          <w:trHeight w:val="862"/>
        </w:trPr>
        <w:tc>
          <w:tcPr>
            <w:tcW w:w="1440" w:type="dxa"/>
            <w:tcBorders>
              <w:top w:val="nil"/>
              <w:left w:val="nil"/>
              <w:bottom w:val="nil"/>
              <w:right w:val="nil"/>
            </w:tcBorders>
          </w:tcPr>
          <w:p w14:paraId="0D06E490" w14:textId="77777777" w:rsidR="00306B34" w:rsidRDefault="00000000">
            <w:pPr>
              <w:spacing w:after="0" w:line="259" w:lineRule="auto"/>
              <w:ind w:left="0" w:firstLine="0"/>
            </w:pPr>
            <w:r>
              <w:rPr>
                <w:b/>
              </w:rPr>
              <w:t xml:space="preserve">Purpose </w:t>
            </w:r>
          </w:p>
        </w:tc>
        <w:tc>
          <w:tcPr>
            <w:tcW w:w="8965" w:type="dxa"/>
            <w:tcBorders>
              <w:top w:val="nil"/>
              <w:left w:val="nil"/>
              <w:bottom w:val="nil"/>
              <w:right w:val="nil"/>
            </w:tcBorders>
          </w:tcPr>
          <w:p w14:paraId="5C7B1378" w14:textId="44F7B8D4" w:rsidR="00306B34" w:rsidRDefault="00000000">
            <w:pPr>
              <w:spacing w:after="0" w:line="259" w:lineRule="auto"/>
              <w:ind w:left="0" w:firstLine="0"/>
            </w:pPr>
            <w:r>
              <w:t>The Deed restrictions state in Section</w:t>
            </w:r>
            <w:r w:rsidR="003577CD">
              <w:t xml:space="preserve"> </w:t>
            </w:r>
            <w:r>
              <w:t xml:space="preserve"> 4 that the property owner is required to submit specified documents for approval of proposed construction. This Policy and Procedure shall establish and define the approval process. </w:t>
            </w:r>
          </w:p>
        </w:tc>
      </w:tr>
      <w:tr w:rsidR="00306B34" w14:paraId="178CA266" w14:textId="77777777">
        <w:trPr>
          <w:trHeight w:val="358"/>
        </w:trPr>
        <w:tc>
          <w:tcPr>
            <w:tcW w:w="1440" w:type="dxa"/>
            <w:tcBorders>
              <w:top w:val="nil"/>
              <w:left w:val="nil"/>
              <w:bottom w:val="nil"/>
              <w:right w:val="nil"/>
            </w:tcBorders>
            <w:vAlign w:val="bottom"/>
          </w:tcPr>
          <w:p w14:paraId="332F969D" w14:textId="77777777" w:rsidR="00306B34" w:rsidRDefault="00000000">
            <w:pPr>
              <w:spacing w:after="0" w:line="259" w:lineRule="auto"/>
              <w:ind w:left="0" w:firstLine="0"/>
            </w:pPr>
            <w:r>
              <w:rPr>
                <w:b/>
              </w:rPr>
              <w:t>Scope</w:t>
            </w:r>
            <w:r>
              <w:t xml:space="preserve"> </w:t>
            </w:r>
          </w:p>
        </w:tc>
        <w:tc>
          <w:tcPr>
            <w:tcW w:w="8965" w:type="dxa"/>
            <w:tcBorders>
              <w:top w:val="nil"/>
              <w:left w:val="nil"/>
              <w:bottom w:val="nil"/>
              <w:right w:val="nil"/>
            </w:tcBorders>
            <w:vAlign w:val="bottom"/>
          </w:tcPr>
          <w:p w14:paraId="43B1D030" w14:textId="77777777" w:rsidR="00306B34" w:rsidRDefault="00000000">
            <w:pPr>
              <w:spacing w:after="0" w:line="259" w:lineRule="auto"/>
              <w:ind w:left="0" w:firstLine="0"/>
            </w:pPr>
            <w:r>
              <w:t xml:space="preserve">The procedure for Architectural Review shall be as follows: </w:t>
            </w:r>
          </w:p>
        </w:tc>
      </w:tr>
    </w:tbl>
    <w:p w14:paraId="093ED82F" w14:textId="0F6FD5D0" w:rsidR="00306B34" w:rsidRDefault="00000000">
      <w:pPr>
        <w:numPr>
          <w:ilvl w:val="0"/>
          <w:numId w:val="1"/>
        </w:numPr>
        <w:ind w:hanging="360"/>
      </w:pPr>
      <w:r>
        <w:t>For each</w:t>
      </w:r>
      <w:r w:rsidR="003577CD">
        <w:t xml:space="preserve"> </w:t>
      </w:r>
      <w:r>
        <w:t xml:space="preserve"> year, the President shall appoint, in accordance with the by-laws, a group of association members numbering not less than </w:t>
      </w:r>
      <w:r w:rsidR="003577CD">
        <w:t>two</w:t>
      </w:r>
      <w:r>
        <w:t xml:space="preserve"> </w:t>
      </w:r>
      <w:r w:rsidR="00E21C78">
        <w:t>or more</w:t>
      </w:r>
      <w:r>
        <w:t xml:space="preserve">  to serve as members of an Architectural Review Committee (ARC). The members of the ARC serve at the discretion of the Board of Directors.</w:t>
      </w:r>
    </w:p>
    <w:p w14:paraId="4AF82E3C" w14:textId="77777777" w:rsidR="00306B34" w:rsidRDefault="00000000">
      <w:pPr>
        <w:numPr>
          <w:ilvl w:val="0"/>
          <w:numId w:val="1"/>
        </w:numPr>
        <w:spacing w:after="19" w:line="241" w:lineRule="auto"/>
        <w:ind w:hanging="360"/>
      </w:pPr>
      <w:r>
        <w:t>The ARC Chairperson shall be appointed and assigned by the President to serve as the liaison to the Board of Directors for the Architectural Review Committee. The Chairperson shall keep the Board of Directors informed about the status of this committee and the approval process.</w:t>
      </w:r>
    </w:p>
    <w:p w14:paraId="2E127F40" w14:textId="4957989B" w:rsidR="00306B34" w:rsidRDefault="00000000">
      <w:pPr>
        <w:numPr>
          <w:ilvl w:val="0"/>
          <w:numId w:val="1"/>
        </w:numPr>
        <w:ind w:hanging="360"/>
      </w:pPr>
      <w:r>
        <w:t>The Committee shall establish and maintain a file and database showing the status of the submitted packages and their documents for reasons of tracking, historical documentation and to enable the ARC Chairperson to present a monthly report to the Board of Directors.</w:t>
      </w:r>
    </w:p>
    <w:p w14:paraId="16A890B8" w14:textId="6EDB86D1" w:rsidR="00306B34" w:rsidRDefault="00000000">
      <w:pPr>
        <w:numPr>
          <w:ilvl w:val="0"/>
          <w:numId w:val="1"/>
        </w:numPr>
        <w:ind w:hanging="360"/>
      </w:pPr>
      <w:r>
        <w:t xml:space="preserve">All submissions of documents as specified in the </w:t>
      </w:r>
      <w:r w:rsidR="003577CD">
        <w:t>BTS</w:t>
      </w:r>
      <w:r w:rsidR="00227BF9">
        <w:t xml:space="preserve"> </w:t>
      </w:r>
      <w:r w:rsidR="003577CD">
        <w:t>POA</w:t>
      </w:r>
      <w:r>
        <w:t xml:space="preserve"> Construction and/or Request for Architectural Review Application forms shall be sent or delivered to the Association’s office and date stamped upon receipt.</w:t>
      </w:r>
    </w:p>
    <w:p w14:paraId="5BC4ADD8" w14:textId="1C68D152" w:rsidR="00306B34" w:rsidRDefault="00000000">
      <w:pPr>
        <w:numPr>
          <w:ilvl w:val="0"/>
          <w:numId w:val="1"/>
        </w:numPr>
        <w:ind w:hanging="360"/>
      </w:pPr>
      <w:r>
        <w:t xml:space="preserve">The </w:t>
      </w:r>
      <w:r w:rsidR="003577CD">
        <w:t xml:space="preserve">ARC </w:t>
      </w:r>
      <w:r>
        <w:t>shall review the application packages for</w:t>
      </w:r>
      <w:r w:rsidR="003577CD">
        <w:t xml:space="preserve"> </w:t>
      </w:r>
      <w:r>
        <w:t>completeness. If any documentation is missing, the</w:t>
      </w:r>
      <w:r w:rsidR="003577CD">
        <w:t xml:space="preserve"> ARC</w:t>
      </w:r>
      <w:r>
        <w:t xml:space="preserve"> shall inform the property owner and/or Builder, in writing, what items are missing and that the review process will be delayed until all required documents are submitted. The property owner and/or builder is responsible for responding within the required time frame</w:t>
      </w:r>
      <w:r w:rsidR="00E21C78">
        <w:t xml:space="preserve"> of </w:t>
      </w:r>
      <w:r w:rsidR="00D211B6">
        <w:t>Three</w:t>
      </w:r>
      <w:r w:rsidR="00E21C78">
        <w:t xml:space="preserve"> weeks</w:t>
      </w:r>
      <w:r>
        <w:t>.</w:t>
      </w:r>
      <w:r w:rsidR="00D211B6">
        <w:t xml:space="preserve"> If material is not presented in that time frame the application will be considered null and void.</w:t>
      </w:r>
    </w:p>
    <w:p w14:paraId="09B4FEEE" w14:textId="00CB4BD5" w:rsidR="00306B34" w:rsidRDefault="00000000" w:rsidP="003577CD">
      <w:pPr>
        <w:numPr>
          <w:ilvl w:val="0"/>
          <w:numId w:val="1"/>
        </w:numPr>
        <w:ind w:hanging="360"/>
      </w:pPr>
      <w:r>
        <w:t xml:space="preserve">The ARC  will schedule at least one ARC meeting each month to review completed application packages and discuss any other matters. </w:t>
      </w:r>
    </w:p>
    <w:p w14:paraId="24B95CEE" w14:textId="2266FD91" w:rsidR="00227BF9" w:rsidRDefault="00000000" w:rsidP="004A5A29">
      <w:pPr>
        <w:pStyle w:val="ListParagraph"/>
        <w:numPr>
          <w:ilvl w:val="0"/>
          <w:numId w:val="1"/>
        </w:numPr>
      </w:pPr>
      <w:r>
        <w:t xml:space="preserve">The ARC will review the documents based on the required specifications </w:t>
      </w:r>
      <w:r w:rsidR="00227BF9">
        <w:t>.</w:t>
      </w:r>
      <w:r>
        <w:t xml:space="preserve"> It is the ARC’s responsibility to ensure the </w:t>
      </w:r>
      <w:r w:rsidR="00227BF9">
        <w:t xml:space="preserve">BTS </w:t>
      </w:r>
      <w:r>
        <w:t xml:space="preserve">POA Deed Restrictions are followed as they apply to homes being built, and additions or alterations to current residences. </w:t>
      </w:r>
    </w:p>
    <w:p w14:paraId="687756A6" w14:textId="41687C0E" w:rsidR="00227BF9" w:rsidRPr="00E21C78" w:rsidRDefault="00E21C78" w:rsidP="00D211B6">
      <w:pPr>
        <w:pStyle w:val="BodyText"/>
        <w:ind w:left="1410"/>
        <w:rPr>
          <w:rFonts w:ascii="Arial" w:hAnsi="Arial" w:cs="Arial"/>
          <w:sz w:val="22"/>
          <w:szCs w:val="22"/>
        </w:rPr>
      </w:pPr>
      <w:r>
        <w:rPr>
          <w:rFonts w:ascii="Arial" w:hAnsi="Arial" w:cs="Arial"/>
          <w:sz w:val="22"/>
          <w:szCs w:val="22"/>
        </w:rPr>
        <w:t>8</w:t>
      </w:r>
      <w:r w:rsidR="00227BF9" w:rsidRPr="00E21C78">
        <w:rPr>
          <w:rFonts w:ascii="Arial" w:hAnsi="Arial" w:cs="Arial"/>
          <w:sz w:val="22"/>
          <w:szCs w:val="22"/>
        </w:rPr>
        <w:t>. APPROVAL OF PLANS, CONTRACTORS:  In order to ensure that all buildings confo</w:t>
      </w:r>
      <w:r>
        <w:rPr>
          <w:rFonts w:ascii="Arial" w:hAnsi="Arial" w:cs="Arial"/>
          <w:sz w:val="22"/>
          <w:szCs w:val="22"/>
        </w:rPr>
        <w:t xml:space="preserve">rm  </w:t>
      </w:r>
      <w:r w:rsidR="00D211B6">
        <w:rPr>
          <w:rFonts w:ascii="Arial" w:hAnsi="Arial" w:cs="Arial"/>
          <w:sz w:val="22"/>
          <w:szCs w:val="22"/>
        </w:rPr>
        <w:t xml:space="preserve">                  </w:t>
      </w:r>
      <w:r w:rsidR="00227BF9" w:rsidRPr="00E21C78">
        <w:rPr>
          <w:rFonts w:ascii="Arial" w:hAnsi="Arial" w:cs="Arial"/>
          <w:sz w:val="22"/>
          <w:szCs w:val="22"/>
        </w:rPr>
        <w:t>to the restrictions herein, no building shall be erected until a set of</w:t>
      </w:r>
      <w:r w:rsidRPr="00E21C78">
        <w:rPr>
          <w:rFonts w:ascii="Arial" w:hAnsi="Arial" w:cs="Arial"/>
          <w:sz w:val="22"/>
          <w:szCs w:val="22"/>
        </w:rPr>
        <w:t xml:space="preserve"> certified engineered</w:t>
      </w:r>
      <w:r w:rsidR="00227BF9" w:rsidRPr="00E21C78">
        <w:rPr>
          <w:rFonts w:ascii="Arial" w:hAnsi="Arial" w:cs="Arial"/>
          <w:sz w:val="22"/>
          <w:szCs w:val="22"/>
        </w:rPr>
        <w:t xml:space="preserve"> plans including a site plan showing the location of the building is submitted to the Architectural Review Committee and approved by said committee</w:t>
      </w:r>
      <w:r>
        <w:rPr>
          <w:rFonts w:ascii="Arial" w:hAnsi="Arial" w:cs="Arial"/>
          <w:sz w:val="22"/>
          <w:szCs w:val="22"/>
        </w:rPr>
        <w:t xml:space="preserve"> and confirmed with the Board</w:t>
      </w:r>
      <w:r w:rsidR="00227BF9" w:rsidRPr="00E21C78">
        <w:rPr>
          <w:rFonts w:ascii="Arial" w:hAnsi="Arial" w:cs="Arial"/>
          <w:sz w:val="22"/>
          <w:szCs w:val="22"/>
        </w:rPr>
        <w:t xml:space="preserve">. The Building contractor shall be </w:t>
      </w:r>
      <w:r w:rsidR="00F030E1" w:rsidRPr="00E21C78">
        <w:rPr>
          <w:rFonts w:ascii="Arial" w:hAnsi="Arial" w:cs="Arial"/>
          <w:sz w:val="22"/>
          <w:szCs w:val="22"/>
        </w:rPr>
        <w:t>a bona</w:t>
      </w:r>
      <w:r w:rsidR="00227BF9" w:rsidRPr="00E21C78">
        <w:rPr>
          <w:rFonts w:ascii="Arial" w:hAnsi="Arial" w:cs="Arial"/>
          <w:sz w:val="22"/>
          <w:szCs w:val="22"/>
        </w:rPr>
        <w:t xml:space="preserve"> fide building contractor who is licensed and insured.  Such building contractor shall be required to post a performance and completion bond in an amount determined by the committee to insure against the possibility of partially completed buildings.  There shall be no construction signs other than those that may be required by law.  A building permit must be prominently displayed.</w:t>
      </w:r>
    </w:p>
    <w:p w14:paraId="4543F9F1" w14:textId="77777777" w:rsidR="00227BF9" w:rsidRPr="00E21C78" w:rsidRDefault="00227BF9" w:rsidP="00227BF9">
      <w:pPr>
        <w:pStyle w:val="BodyText"/>
        <w:rPr>
          <w:rFonts w:ascii="Arial" w:hAnsi="Arial" w:cs="Arial"/>
          <w:sz w:val="22"/>
          <w:szCs w:val="22"/>
        </w:rPr>
      </w:pPr>
    </w:p>
    <w:p w14:paraId="2A96D84A" w14:textId="77777777" w:rsidR="00227BF9" w:rsidRDefault="00227BF9" w:rsidP="00227BF9">
      <w:pPr>
        <w:ind w:left="1803" w:firstLine="0"/>
      </w:pPr>
    </w:p>
    <w:p w14:paraId="77008BAF" w14:textId="77777777" w:rsidR="004A5A29" w:rsidRDefault="004A5A29" w:rsidP="004A5A29">
      <w:pPr>
        <w:ind w:left="1800" w:firstLine="0"/>
      </w:pPr>
    </w:p>
    <w:p w14:paraId="5765221A" w14:textId="77777777" w:rsidR="004A5A29" w:rsidRDefault="004A5A29" w:rsidP="004A5A29">
      <w:pPr>
        <w:ind w:left="1800" w:firstLine="0"/>
      </w:pPr>
    </w:p>
    <w:p w14:paraId="5E94B716" w14:textId="77777777" w:rsidR="004A5A29" w:rsidRDefault="004A5A29" w:rsidP="004A5A29">
      <w:pPr>
        <w:ind w:left="1800" w:firstLine="0"/>
      </w:pPr>
    </w:p>
    <w:p w14:paraId="6EEAC014" w14:textId="77777777" w:rsidR="004A5A29" w:rsidRDefault="004A5A29" w:rsidP="004A5A29">
      <w:pPr>
        <w:ind w:left="1800" w:firstLine="0"/>
      </w:pPr>
    </w:p>
    <w:p w14:paraId="756BF541" w14:textId="77777777" w:rsidR="004A5A29" w:rsidRDefault="004A5A29" w:rsidP="004A5A29">
      <w:pPr>
        <w:ind w:left="1800" w:firstLine="0"/>
      </w:pPr>
    </w:p>
    <w:p w14:paraId="727F1984" w14:textId="17AE3D44" w:rsidR="004A5A29" w:rsidRDefault="004A5A29" w:rsidP="004A5A29">
      <w:pPr>
        <w:pStyle w:val="ListParagraph"/>
        <w:numPr>
          <w:ilvl w:val="1"/>
          <w:numId w:val="1"/>
        </w:numPr>
      </w:pPr>
      <w:r>
        <w:t>The overall look of the project shall conform to the general design prevalent in the community. This would exclude extreme building styles.</w:t>
      </w:r>
    </w:p>
    <w:p w14:paraId="1102DDC2" w14:textId="77777777" w:rsidR="004A5A29" w:rsidRDefault="004A5A29" w:rsidP="004A5A29">
      <w:pPr>
        <w:ind w:left="1800" w:firstLine="0"/>
      </w:pPr>
    </w:p>
    <w:p w14:paraId="456944BE" w14:textId="77777777" w:rsidR="004A5A29" w:rsidRDefault="004A5A29" w:rsidP="004A5A29">
      <w:pPr>
        <w:ind w:left="1800" w:firstLine="0"/>
      </w:pPr>
    </w:p>
    <w:p w14:paraId="55F453E0" w14:textId="5FDD8223" w:rsidR="00306B34" w:rsidRDefault="00000000" w:rsidP="004A5A29">
      <w:pPr>
        <w:pStyle w:val="ListParagraph"/>
        <w:numPr>
          <w:ilvl w:val="1"/>
          <w:numId w:val="1"/>
        </w:numPr>
      </w:pPr>
      <w:r>
        <w:t>Landscaping guidelines – plantings are required on all four sides, as well as around</w:t>
      </w:r>
      <w:r w:rsidR="00227BF9">
        <w:t xml:space="preserve"> </w:t>
      </w:r>
      <w:r>
        <w:t>the pool cage and equipment if a pool is installed. The irrigation system must be installed underground.</w:t>
      </w:r>
    </w:p>
    <w:p w14:paraId="1942AAB8" w14:textId="4F3CA415" w:rsidR="00306B34" w:rsidRDefault="00000000" w:rsidP="004A5A29">
      <w:pPr>
        <w:pStyle w:val="ListParagraph"/>
        <w:numPr>
          <w:ilvl w:val="1"/>
          <w:numId w:val="1"/>
        </w:numPr>
      </w:pPr>
      <w:r>
        <w:t xml:space="preserve">Electric service must be run underground </w:t>
      </w:r>
      <w:r w:rsidR="00E21C78">
        <w:t>.</w:t>
      </w:r>
    </w:p>
    <w:p w14:paraId="3C0BEE3F" w14:textId="77777777" w:rsidR="004A5A29" w:rsidRDefault="004A5A29" w:rsidP="004A5A29">
      <w:pPr>
        <w:ind w:left="1458" w:firstLine="0"/>
      </w:pPr>
    </w:p>
    <w:p w14:paraId="465FFC1B" w14:textId="77777777" w:rsidR="004A5A29" w:rsidRDefault="004A5A29" w:rsidP="004A5A29">
      <w:pPr>
        <w:ind w:left="1458" w:firstLine="0"/>
      </w:pPr>
    </w:p>
    <w:p w14:paraId="2BF1CB26" w14:textId="30BFBA6F" w:rsidR="00F030E1" w:rsidRDefault="00000000" w:rsidP="004A5A29">
      <w:pPr>
        <w:pStyle w:val="ListParagraph"/>
        <w:numPr>
          <w:ilvl w:val="0"/>
          <w:numId w:val="3"/>
        </w:numPr>
      </w:pPr>
      <w:r>
        <w:t>If a builder is in violation with the builder compliance committee (clean site policy), the ARC will not review any new submissions from or including that builder until the violations are corrected.</w:t>
      </w:r>
    </w:p>
    <w:p w14:paraId="7A39BD80" w14:textId="77777777" w:rsidR="00F030E1" w:rsidRDefault="00F030E1" w:rsidP="00F030E1"/>
    <w:p w14:paraId="57FDE0F7" w14:textId="77777777" w:rsidR="00F030E1" w:rsidRDefault="00F030E1" w:rsidP="00F030E1"/>
    <w:p w14:paraId="0708041F" w14:textId="77777777" w:rsidR="00F030E1" w:rsidRDefault="00F030E1" w:rsidP="00F030E1"/>
    <w:p w14:paraId="6F9A2245" w14:textId="77777777" w:rsidR="00F030E1" w:rsidRDefault="00F030E1" w:rsidP="00F030E1"/>
    <w:p w14:paraId="304D3067" w14:textId="77777777" w:rsidR="00F030E1" w:rsidRDefault="00F030E1" w:rsidP="00F030E1"/>
    <w:p w14:paraId="5CA33429" w14:textId="77777777" w:rsidR="00F030E1" w:rsidRDefault="00F030E1" w:rsidP="00F030E1"/>
    <w:p w14:paraId="4AFFD8CD" w14:textId="77777777" w:rsidR="00F030E1" w:rsidRDefault="00F030E1" w:rsidP="00F030E1"/>
    <w:p w14:paraId="5F86EA02" w14:textId="77777777" w:rsidR="00F030E1" w:rsidRDefault="00F030E1" w:rsidP="00F030E1"/>
    <w:p w14:paraId="168D39B6" w14:textId="77777777" w:rsidR="00F030E1" w:rsidRDefault="00F030E1" w:rsidP="00F030E1"/>
    <w:p w14:paraId="65C6D833" w14:textId="77777777" w:rsidR="00F030E1" w:rsidRDefault="00F030E1" w:rsidP="00F030E1"/>
    <w:p w14:paraId="5EFFD5F8" w14:textId="77777777" w:rsidR="00F030E1" w:rsidRDefault="00F030E1" w:rsidP="00F030E1"/>
    <w:p w14:paraId="4C516676" w14:textId="77777777" w:rsidR="00F030E1" w:rsidRDefault="00F030E1" w:rsidP="00F030E1"/>
    <w:p w14:paraId="19BDC56A" w14:textId="77777777" w:rsidR="00F030E1" w:rsidRDefault="00F030E1" w:rsidP="00F030E1"/>
    <w:p w14:paraId="7F9352A9" w14:textId="77777777" w:rsidR="00F030E1" w:rsidRDefault="00F030E1" w:rsidP="00F030E1"/>
    <w:p w14:paraId="45F5F88D" w14:textId="77777777" w:rsidR="00F030E1" w:rsidRDefault="00F030E1" w:rsidP="00F030E1"/>
    <w:p w14:paraId="103FFA38" w14:textId="77777777" w:rsidR="00F030E1" w:rsidRDefault="00F030E1" w:rsidP="00F030E1"/>
    <w:p w14:paraId="1999719B" w14:textId="77777777" w:rsidR="00F030E1" w:rsidRDefault="00F030E1" w:rsidP="00F030E1"/>
    <w:p w14:paraId="00C5063C" w14:textId="77777777" w:rsidR="00F030E1" w:rsidRDefault="00F030E1" w:rsidP="00F030E1"/>
    <w:p w14:paraId="35627666" w14:textId="77777777" w:rsidR="00F030E1" w:rsidRDefault="00F030E1" w:rsidP="00F030E1"/>
    <w:p w14:paraId="4741DE77" w14:textId="77777777" w:rsidR="00F030E1" w:rsidRDefault="00F030E1" w:rsidP="00F030E1"/>
    <w:p w14:paraId="3ABACEF8" w14:textId="77777777" w:rsidR="00F030E1" w:rsidRDefault="00F030E1" w:rsidP="00F030E1"/>
    <w:p w14:paraId="1EC0D7D4" w14:textId="77777777" w:rsidR="00F030E1" w:rsidRDefault="00F030E1" w:rsidP="00F030E1"/>
    <w:p w14:paraId="0614E295" w14:textId="77777777" w:rsidR="00F030E1" w:rsidRDefault="00F030E1" w:rsidP="00F030E1"/>
    <w:p w14:paraId="76BFE4A7" w14:textId="77777777" w:rsidR="00F030E1" w:rsidRDefault="00F030E1" w:rsidP="00F030E1"/>
    <w:p w14:paraId="20BDF050" w14:textId="77777777" w:rsidR="00F030E1" w:rsidRDefault="00F030E1" w:rsidP="00F030E1"/>
    <w:p w14:paraId="1F2E616A" w14:textId="77777777" w:rsidR="00F030E1" w:rsidRDefault="00F030E1" w:rsidP="00F030E1"/>
    <w:p w14:paraId="4F010DF2" w14:textId="77777777" w:rsidR="00F030E1" w:rsidRDefault="00F030E1" w:rsidP="00F030E1"/>
    <w:p w14:paraId="481497C7" w14:textId="77777777" w:rsidR="00F030E1" w:rsidRDefault="00F030E1" w:rsidP="00F030E1"/>
    <w:p w14:paraId="5F88A277" w14:textId="77777777" w:rsidR="00F030E1" w:rsidRDefault="00F030E1" w:rsidP="00F030E1"/>
    <w:p w14:paraId="44215CED" w14:textId="77777777" w:rsidR="00F030E1" w:rsidRDefault="00F030E1" w:rsidP="00F030E1"/>
    <w:p w14:paraId="6B6EBC36" w14:textId="77777777" w:rsidR="00F030E1" w:rsidRDefault="00F030E1" w:rsidP="00F030E1"/>
    <w:p w14:paraId="717BE6ED" w14:textId="77777777" w:rsidR="00F030E1" w:rsidRDefault="00F030E1" w:rsidP="00F030E1"/>
    <w:p w14:paraId="5D76F982" w14:textId="77777777" w:rsidR="00F030E1" w:rsidRDefault="00F030E1" w:rsidP="00F030E1"/>
    <w:p w14:paraId="42825626" w14:textId="77777777" w:rsidR="00F030E1" w:rsidRDefault="00F030E1" w:rsidP="00F030E1"/>
    <w:p w14:paraId="2D9C0F5D" w14:textId="7C2ED68C" w:rsidR="00306B34" w:rsidRDefault="00D211B6" w:rsidP="00F030E1">
      <w:r>
        <w:t xml:space="preserve">Reviewed by </w:t>
      </w:r>
      <w:r w:rsidR="003313A7">
        <w:t xml:space="preserve"> </w:t>
      </w:r>
      <w:r w:rsidR="003313A7" w:rsidRPr="003313A7">
        <w:t xml:space="preserve">The </w:t>
      </w:r>
      <w:r>
        <w:t>Wotitzky Law Firm 7/25/2024</w:t>
      </w:r>
    </w:p>
    <w:sectPr w:rsidR="00306B34">
      <w:footerReference w:type="even" r:id="rId7"/>
      <w:footerReference w:type="default" r:id="rId8"/>
      <w:footerReference w:type="first" r:id="rId9"/>
      <w:pgSz w:w="12240" w:h="15840"/>
      <w:pgMar w:top="478" w:right="719" w:bottom="1396" w:left="990" w:header="720" w:footer="6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678B9" w14:textId="77777777" w:rsidR="005D6166" w:rsidRDefault="005D6166">
      <w:pPr>
        <w:spacing w:after="0" w:line="240" w:lineRule="auto"/>
      </w:pPr>
      <w:r>
        <w:separator/>
      </w:r>
    </w:p>
  </w:endnote>
  <w:endnote w:type="continuationSeparator" w:id="0">
    <w:p w14:paraId="37F12224" w14:textId="77777777" w:rsidR="005D6166" w:rsidRDefault="005D6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03D02B" w14:textId="77777777" w:rsidR="00306B34" w:rsidRDefault="00000000">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E4C86" w14:textId="77777777" w:rsidR="00306B34" w:rsidRDefault="00000000">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B7343" w14:textId="77777777" w:rsidR="00306B34" w:rsidRDefault="00000000">
    <w:pPr>
      <w:spacing w:after="0" w:line="259" w:lineRule="auto"/>
      <w:ind w:left="0" w:right="-2" w:firstLine="0"/>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15B96" w14:textId="77777777" w:rsidR="005D6166" w:rsidRDefault="005D6166">
      <w:pPr>
        <w:spacing w:after="0" w:line="240" w:lineRule="auto"/>
      </w:pPr>
      <w:r>
        <w:separator/>
      </w:r>
    </w:p>
  </w:footnote>
  <w:footnote w:type="continuationSeparator" w:id="0">
    <w:p w14:paraId="4335C2B5" w14:textId="77777777" w:rsidR="005D6166" w:rsidRDefault="005D61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D5B35"/>
    <w:multiLevelType w:val="hybridMultilevel"/>
    <w:tmpl w:val="FBD6D4E6"/>
    <w:lvl w:ilvl="0" w:tplc="D1265F54">
      <w:start w:val="1"/>
      <w:numFmt w:val="decimal"/>
      <w:lvlText w:val="%1."/>
      <w:lvlJc w:val="left"/>
      <w:pPr>
        <w:ind w:left="1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B6DE3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F6ECA2">
      <w:start w:val="1"/>
      <w:numFmt w:val="lowerRoman"/>
      <w:lvlText w:val="%3"/>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BA6D96">
      <w:start w:val="1"/>
      <w:numFmt w:val="decimal"/>
      <w:lvlText w:val="%4"/>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E88326">
      <w:start w:val="1"/>
      <w:numFmt w:val="lowerLetter"/>
      <w:lvlText w:val="%5"/>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6048B8">
      <w:start w:val="1"/>
      <w:numFmt w:val="lowerRoman"/>
      <w:lvlText w:val="%6"/>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02E250">
      <w:start w:val="1"/>
      <w:numFmt w:val="decimal"/>
      <w:lvlText w:val="%7"/>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B4C8B4">
      <w:start w:val="1"/>
      <w:numFmt w:val="lowerLetter"/>
      <w:lvlText w:val="%8"/>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34F0A0">
      <w:start w:val="1"/>
      <w:numFmt w:val="lowerRoman"/>
      <w:lvlText w:val="%9"/>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CE4045D"/>
    <w:multiLevelType w:val="hybridMultilevel"/>
    <w:tmpl w:val="2B2A2E24"/>
    <w:lvl w:ilvl="0" w:tplc="A8B6DE3E">
      <w:start w:val="1"/>
      <w:numFmt w:val="lowerLetter"/>
      <w:lvlText w:val="%1."/>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02603D"/>
    <w:multiLevelType w:val="hybridMultilevel"/>
    <w:tmpl w:val="27961B02"/>
    <w:lvl w:ilvl="0" w:tplc="F83CDE00">
      <w:start w:val="9"/>
      <w:numFmt w:val="decimal"/>
      <w:lvlText w:val="%1."/>
      <w:lvlJc w:val="left"/>
      <w:pPr>
        <w:ind w:left="1818" w:hanging="360"/>
      </w:pPr>
      <w:rPr>
        <w:rFonts w:hint="default"/>
      </w:rPr>
    </w:lvl>
    <w:lvl w:ilvl="1" w:tplc="04090019" w:tentative="1">
      <w:start w:val="1"/>
      <w:numFmt w:val="lowerLetter"/>
      <w:lvlText w:val="%2."/>
      <w:lvlJc w:val="left"/>
      <w:pPr>
        <w:ind w:left="2538" w:hanging="360"/>
      </w:pPr>
    </w:lvl>
    <w:lvl w:ilvl="2" w:tplc="0409001B" w:tentative="1">
      <w:start w:val="1"/>
      <w:numFmt w:val="lowerRoman"/>
      <w:lvlText w:val="%3."/>
      <w:lvlJc w:val="right"/>
      <w:pPr>
        <w:ind w:left="3258" w:hanging="180"/>
      </w:pPr>
    </w:lvl>
    <w:lvl w:ilvl="3" w:tplc="0409000F" w:tentative="1">
      <w:start w:val="1"/>
      <w:numFmt w:val="decimal"/>
      <w:lvlText w:val="%4."/>
      <w:lvlJc w:val="left"/>
      <w:pPr>
        <w:ind w:left="3978" w:hanging="360"/>
      </w:pPr>
    </w:lvl>
    <w:lvl w:ilvl="4" w:tplc="04090019" w:tentative="1">
      <w:start w:val="1"/>
      <w:numFmt w:val="lowerLetter"/>
      <w:lvlText w:val="%5."/>
      <w:lvlJc w:val="left"/>
      <w:pPr>
        <w:ind w:left="4698" w:hanging="360"/>
      </w:pPr>
    </w:lvl>
    <w:lvl w:ilvl="5" w:tplc="0409001B" w:tentative="1">
      <w:start w:val="1"/>
      <w:numFmt w:val="lowerRoman"/>
      <w:lvlText w:val="%6."/>
      <w:lvlJc w:val="right"/>
      <w:pPr>
        <w:ind w:left="5418" w:hanging="180"/>
      </w:pPr>
    </w:lvl>
    <w:lvl w:ilvl="6" w:tplc="0409000F" w:tentative="1">
      <w:start w:val="1"/>
      <w:numFmt w:val="decimal"/>
      <w:lvlText w:val="%7."/>
      <w:lvlJc w:val="left"/>
      <w:pPr>
        <w:ind w:left="6138" w:hanging="360"/>
      </w:pPr>
    </w:lvl>
    <w:lvl w:ilvl="7" w:tplc="04090019" w:tentative="1">
      <w:start w:val="1"/>
      <w:numFmt w:val="lowerLetter"/>
      <w:lvlText w:val="%8."/>
      <w:lvlJc w:val="left"/>
      <w:pPr>
        <w:ind w:left="6858" w:hanging="360"/>
      </w:pPr>
    </w:lvl>
    <w:lvl w:ilvl="8" w:tplc="0409001B" w:tentative="1">
      <w:start w:val="1"/>
      <w:numFmt w:val="lowerRoman"/>
      <w:lvlText w:val="%9."/>
      <w:lvlJc w:val="right"/>
      <w:pPr>
        <w:ind w:left="7578" w:hanging="180"/>
      </w:pPr>
    </w:lvl>
  </w:abstractNum>
  <w:num w:numId="1" w16cid:durableId="1002708436">
    <w:abstractNumId w:val="0"/>
  </w:num>
  <w:num w:numId="2" w16cid:durableId="270626710">
    <w:abstractNumId w:val="1"/>
  </w:num>
  <w:num w:numId="3" w16cid:durableId="1174685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B34"/>
    <w:rsid w:val="00227BF9"/>
    <w:rsid w:val="002B029B"/>
    <w:rsid w:val="00306B34"/>
    <w:rsid w:val="003313A7"/>
    <w:rsid w:val="003577CD"/>
    <w:rsid w:val="004A5A29"/>
    <w:rsid w:val="005D6166"/>
    <w:rsid w:val="006321D1"/>
    <w:rsid w:val="008D1EC8"/>
    <w:rsid w:val="00AB0673"/>
    <w:rsid w:val="00B61CBE"/>
    <w:rsid w:val="00D211B6"/>
    <w:rsid w:val="00DE1C49"/>
    <w:rsid w:val="00E21C78"/>
    <w:rsid w:val="00F030E1"/>
    <w:rsid w:val="00F56487"/>
    <w:rsid w:val="00F70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F4EC4"/>
  <w15:docId w15:val="{1D2115F7-2642-4B7A-8A5E-F769C608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49" w:lineRule="auto"/>
      <w:ind w:left="1828" w:hanging="370"/>
    </w:pPr>
    <w:rPr>
      <w:rFonts w:ascii="Arial" w:eastAsia="Arial" w:hAnsi="Arial" w:cs="Arial"/>
      <w:color w:val="000000"/>
      <w:sz w:val="22"/>
    </w:rPr>
  </w:style>
  <w:style w:type="paragraph" w:styleId="Heading1">
    <w:name w:val="heading 1"/>
    <w:next w:val="Normal"/>
    <w:link w:val="Heading1Char"/>
    <w:uiPriority w:val="9"/>
    <w:qFormat/>
    <w:pPr>
      <w:keepNext/>
      <w:keepLines/>
      <w:spacing w:after="22" w:line="259" w:lineRule="auto"/>
      <w:ind w:left="16"/>
      <w:jc w:val="center"/>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uiPriority w:val="99"/>
    <w:rsid w:val="00227BF9"/>
    <w:pPr>
      <w:spacing w:after="0" w:line="240" w:lineRule="auto"/>
      <w:ind w:left="0" w:firstLine="0"/>
    </w:pPr>
    <w:rPr>
      <w:rFonts w:ascii="Times New Roman" w:eastAsiaTheme="minorEastAsia" w:hAnsi="Times New Roman" w:cs="Times New Roman"/>
      <w:color w:val="auto"/>
      <w:kern w:val="0"/>
      <w:sz w:val="20"/>
      <w:szCs w:val="20"/>
      <w14:ligatures w14:val="none"/>
    </w:rPr>
  </w:style>
  <w:style w:type="character" w:customStyle="1" w:styleId="BodyTextChar">
    <w:name w:val="Body Text Char"/>
    <w:basedOn w:val="DefaultParagraphFont"/>
    <w:link w:val="BodyText"/>
    <w:uiPriority w:val="99"/>
    <w:rsid w:val="00227BF9"/>
    <w:rPr>
      <w:rFonts w:ascii="Times New Roman" w:hAnsi="Times New Roman" w:cs="Times New Roman"/>
      <w:kern w:val="0"/>
      <w:sz w:val="20"/>
      <w:szCs w:val="20"/>
      <w14:ligatures w14:val="none"/>
    </w:rPr>
  </w:style>
  <w:style w:type="paragraph" w:styleId="ListParagraph">
    <w:name w:val="List Paragraph"/>
    <w:basedOn w:val="Normal"/>
    <w:uiPriority w:val="34"/>
    <w:qFormat/>
    <w:rsid w:val="004A5A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dogtrikr</dc:creator>
  <cp:keywords/>
  <cp:lastModifiedBy>Debbie Brooks</cp:lastModifiedBy>
  <cp:revision>7</cp:revision>
  <cp:lastPrinted>2024-04-06T13:13:00Z</cp:lastPrinted>
  <dcterms:created xsi:type="dcterms:W3CDTF">2024-04-02T15:42:00Z</dcterms:created>
  <dcterms:modified xsi:type="dcterms:W3CDTF">2024-08-16T17:07:00Z</dcterms:modified>
</cp:coreProperties>
</file>